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widowControl/>
        <w:spacing w:after="160" w:before="0" w:line="240" w:lineRule="auto"/>
        <w:jc w:val="center"/>
      </w:pPr>
      <w:r>
        <w:rPr>
          <w:rFonts w:ascii="Arial" w:hAnsi="Arial" w:eastAsia="Arial"/>
          <w:b/>
          <w:i w:val="0"/>
          <w:color w:val="0A2A78"/>
          <w:sz w:val="44"/>
        </w:rPr>
        <w:t>ДОГОВОР</w:t>
      </w:r>
    </w:p>
    <w:p>
      <w:pPr>
        <w:keepNext w:val="0"/>
        <w:widowControl/>
        <w:spacing w:after="160" w:before="0" w:line="240" w:lineRule="auto"/>
        <w:jc w:val="center"/>
      </w:pPr>
      <w:r>
        <w:rPr>
          <w:rFonts w:ascii="Arial" w:hAnsi="Arial" w:eastAsia="Arial"/>
          <w:b/>
          <w:i w:val="0"/>
          <w:color w:val="123EE9"/>
          <w:sz w:val="36"/>
        </w:rPr>
        <w:t>разработки, настройки и передачи одностраничного сайта</w:t>
      </w:r>
    </w:p>
    <w:p>
      <w:pPr>
        <w:keepNext w:val="0"/>
        <w:widowControl/>
        <w:spacing w:after="280" w:before="0" w:line="274" w:lineRule="auto"/>
        <w:jc w:val="center"/>
      </w:pPr>
      <w:r>
        <w:rPr>
          <w:rFonts w:ascii="Arial" w:hAnsi="Arial" w:eastAsia="Arial"/>
          <w:b/>
          <w:i w:val="0"/>
          <w:color w:val="123EE9"/>
          <w:sz w:val="27"/>
        </w:rPr>
        <w:t>базовый лендинг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EEF6FF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pPr>
              <w:keepNext w:val="0"/>
              <w:widowControl/>
              <w:spacing w:after="6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123EE9"/>
                <w:sz w:val="20"/>
              </w:rPr>
              <w:t>ОБРАЗЕЦ ДЛЯ ПРЕДВАРИТЕЛЬНОГО ОЗНАКОМЛЕНИЯ</w:t>
            </w:r>
          </w:p>
          <w:p>
            <w:pPr>
              <w:keepNext w:val="0"/>
              <w:widowControl/>
              <w:spacing w:after="0" w:before="0" w:line="274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304C7E"/>
                <w:sz w:val="19"/>
              </w:rPr>
              <w:t>Не является публичной офертой. До начала работ Стороны заполняют и подписывают ТЗ, включая срок и график оплаты; окончательные условия определяются подписанным комплектом документов.</w:t>
            </w:r>
          </w:p>
        </w:tc>
      </w:tr>
    </w:tbl>
    <w:p>
      <w:pPr>
        <w:keepNext w:val="0"/>
        <w:widowControl/>
        <w:spacing w:after="140" w:before="200" w:line="274" w:lineRule="auto"/>
      </w:pPr>
      <w:r>
        <w:rPr>
          <w:rFonts w:ascii="Arial" w:hAnsi="Arial" w:eastAsia="Arial"/>
          <w:b/>
          <w:i w:val="0"/>
          <w:color w:val="0A2A78"/>
          <w:sz w:val="26"/>
        </w:rPr>
        <w:t>Коротко об условиях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3061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Параметр</w:t>
            </w:r>
          </w:p>
        </w:tc>
        <w:tc>
          <w:tcPr>
            <w:tcW w:type="dxa" w:w="6576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Условие образца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Исполнитель и получатель оплаты</w:t>
            </w:r>
          </w:p>
        </w:tc>
        <w:tc>
          <w:tcPr>
            <w:tcW w:type="dxa" w:w="65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ИП Куракина Юлия Сергеевна, ИНН 614405310804, ОГРНИП 318420500011684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Цена</w:t>
            </w:r>
          </w:p>
        </w:tc>
        <w:tc>
          <w:tcPr>
            <w:tcW w:type="dxa" w:w="65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Твёрдая цена базового пакета — 19 900 ₽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Оплата</w:t>
            </w:r>
          </w:p>
        </w:tc>
        <w:tc>
          <w:tcPr>
            <w:tcW w:type="dxa" w:w="65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Конкретный график вносится в подписанное ТЗ; сумма всех платежей должна составлять ровно 19 900 ₽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Срок</w:t>
            </w:r>
          </w:p>
        </w:tc>
        <w:tc>
          <w:tcPr>
            <w:tcW w:type="dxa" w:w="65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Конкретный срок и контрольная дата вносятся в подписанное ТЗ до начала работ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Базовый пакет</w:t>
            </w:r>
          </w:p>
        </w:tc>
        <w:tc>
          <w:tcPr>
            <w:tcW w:type="dxa" w:w="65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Одна страница, 5–8 согласованных блоков, мобильная адаптация, материалы Заказчика, правки, публикация и передача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Не входит</w:t>
            </w:r>
          </w:p>
        </w:tc>
        <w:tc>
          <w:tcPr>
            <w:tcW w:type="dxa" w:w="65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Онлайн-оплата, корзина, каталог, личный кабинет и дополнительные функции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Приёмка</w:t>
            </w:r>
          </w:p>
        </w:tc>
        <w:tc>
          <w:tcPr>
            <w:tcW w:type="dxa" w:w="65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3 рабочих дня на проверку и единый список замечаний; подтверждённые дефекты исправляются до соответствия ТЗ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Гарантия</w:t>
            </w:r>
          </w:p>
        </w:tc>
        <w:tc>
          <w:tcPr>
            <w:tcW w:type="dxa" w:w="65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30 календарных дней на воспроизводимые технические дефекты без ограничения обязательных прав по закону</w:t>
            </w:r>
          </w:p>
        </w:tc>
      </w:tr>
    </w:tbl>
    <w:p>
      <w:pPr>
        <w:spacing w:after="20"/>
      </w:pPr>
    </w:p>
    <w:p>
      <w:pPr>
        <w:keepNext w:val="0"/>
        <w:widowControl/>
        <w:spacing w:after="160" w:before="8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>г. Прокопьевск</w:t>
      </w:r>
      <w:r>
        <w:rPr>
          <w:rFonts w:ascii="Arial" w:hAnsi="Arial" w:eastAsia="Arial"/>
          <w:b w:val="0"/>
          <w:i w:val="0"/>
          <w:color w:val="071E55"/>
          <w:sz w:val="20"/>
        </w:rPr>
        <w:t xml:space="preserve">                                  «___» __________ 20___ г.</w:t>
      </w:r>
    </w:p>
    <w:p>
      <w:pPr>
        <w:keepNext w:val="0"/>
        <w:widowControl/>
        <w:spacing w:after="16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>Индивидуальный предприниматель Куракина Юлия Сергеевна</w:t>
      </w:r>
      <w:r>
        <w:rPr>
          <w:rFonts w:ascii="Arial" w:hAnsi="Arial" w:eastAsia="Arial"/>
          <w:b w:val="0"/>
          <w:i w:val="0"/>
          <w:color w:val="071E55"/>
          <w:sz w:val="20"/>
        </w:rPr>
        <w:t>, ОГРНИП 318420500011684, именуемая далее «Исполнитель», с одной стороны, и ________________________________, ИНН __________________, в лице ________________________________, действующего на основании __________________, именуемое далее «Заказчик», с другой стороны, совместно именуемые «Стороны», заключили настоящий договор.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 Термины, документы и характер договора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1.1. </w:t>
      </w:r>
      <w:r>
        <w:rPr>
          <w:rFonts w:ascii="Arial" w:hAnsi="Arial" w:eastAsia="Arial"/>
          <w:b w:val="0"/>
          <w:i w:val="0"/>
          <w:color w:val="071E55"/>
          <w:sz w:val="20"/>
        </w:rPr>
        <w:t>Единый комплект документов составляют настоящий договор, подписанное техническое задание (далее — ТЗ), согласованные дополнительные соглашения, счета, акты и реестр передачи. Страница с описанием услуги и демонстрационные работы помогают оценить формат, но не заменяют ТЗ.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1.2. </w:t>
      </w:r>
      <w:r>
        <w:rPr>
          <w:rFonts w:ascii="Arial" w:hAnsi="Arial" w:eastAsia="Arial"/>
          <w:b w:val="0"/>
          <w:i w:val="0"/>
          <w:color w:val="071E55"/>
          <w:sz w:val="20"/>
        </w:rPr>
        <w:t>Лендинг — одностраничный сайт об одной услуге, товаре или предложении с согласованным целевым действием и способом связи с Заказчиком.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1.3. </w:t>
      </w:r>
      <w:r>
        <w:rPr>
          <w:rFonts w:ascii="Arial" w:hAnsi="Arial" w:eastAsia="Arial"/>
          <w:b w:val="0"/>
          <w:i w:val="0"/>
          <w:color w:val="071E55"/>
          <w:sz w:val="20"/>
        </w:rPr>
        <w:t>Тестовая версия — рабочий результат на техническом адресе для проверки Заказчиком, закрытый от публичной индексации до согласованной публикации.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1.4. </w:t>
      </w:r>
      <w:r>
        <w:rPr>
          <w:rFonts w:ascii="Arial" w:hAnsi="Arial" w:eastAsia="Arial"/>
          <w:b w:val="0"/>
          <w:i w:val="0"/>
          <w:color w:val="071E55"/>
          <w:sz w:val="20"/>
        </w:rPr>
        <w:t>Индивидуальный результат — специально созданные для Заказчика и перечисленные в ТЗ дизайн, тексты, графика, настройки и программный код, правами на которые вправе распоряжаться Исполнитель.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1.5. </w:t>
      </w:r>
      <w:r>
        <w:rPr>
          <w:rFonts w:ascii="Arial" w:hAnsi="Arial" w:eastAsia="Arial"/>
          <w:b w:val="0"/>
          <w:i w:val="0"/>
          <w:color w:val="071E55"/>
          <w:sz w:val="20"/>
        </w:rPr>
        <w:t>Базовые модули — общие шаблоны, компоненты, библиотеки, служебные сценарии и повторно используемые решения VIDARA NEIRO. Их исходный код и внутренние инструменты не передаются как отдельный продукт, если иное прямо не указано в ТЗ.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1.6. </w:t>
      </w:r>
      <w:r>
        <w:rPr>
          <w:rFonts w:ascii="Arial" w:hAnsi="Arial" w:eastAsia="Arial"/>
          <w:b w:val="0"/>
          <w:i w:val="0"/>
          <w:color w:val="071E55"/>
          <w:sz w:val="20"/>
        </w:rPr>
        <w:t>Дефект — воспроизводимое отклонение результата от прямо согласованного требования ТЗ. Новое пожелание, расширение объёма или изменение внешнего сервиса не являются дефектом, но могут быть согласованы как отдельная задача.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1.7. </w:t>
      </w:r>
      <w:r>
        <w:rPr>
          <w:rFonts w:ascii="Arial" w:hAnsi="Arial" w:eastAsia="Arial"/>
          <w:b w:val="0"/>
          <w:i w:val="0"/>
          <w:color w:val="071E55"/>
          <w:sz w:val="20"/>
        </w:rPr>
        <w:t>Договор является смешанным: он включает создание и передачу результата работ, необходимые услуги по настройке и публикации, передачу согласованных прав на индивидуальный результат и лицензию на встроенные базовые модули.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2 Предмет договора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2.1.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обязуется разработать и настроить для Заказчика один лендинг в составе базового пакета, предъявить тестовую версию, устранить подтверждённые несоответствия ТЗ, опубликовать и передать результат в согласованном объёме. Заказчик обязуется предоставить материалы, проверить и принять результат и оплатить работы.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2.2. </w:t>
      </w:r>
      <w:r>
        <w:rPr>
          <w:rFonts w:ascii="Arial" w:hAnsi="Arial" w:eastAsia="Arial"/>
          <w:b w:val="0"/>
          <w:i w:val="0"/>
          <w:color w:val="071E55"/>
          <w:sz w:val="20"/>
        </w:rPr>
        <w:t>Цель, аудитория, целевое действие, порядок 5–8 блоков, материалы, визуальное направление, критерии приёмки, календарный срок, график оплаты, среда публикации и состав передаваемых элементов фиксируются в ТЗ до начала работ.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2.3. </w:t>
      </w:r>
      <w:r>
        <w:rPr>
          <w:rFonts w:ascii="Arial" w:hAnsi="Arial" w:eastAsia="Arial"/>
          <w:b w:val="0"/>
          <w:i w:val="0"/>
          <w:color w:val="071E55"/>
          <w:sz w:val="20"/>
        </w:rPr>
        <w:t>Договор предназначен для Заказчика, который приобретает лендинг для предпринимательской или профессиональной деятельности. Для физического лица, приобретающего результат для личных нужд, оформляется отдельная редакция с учётом законодательства о защите прав потребителей.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3 Состав базового пакета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бриф, согласование ТЗ и критериев приёмки;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одна страница из 5–8 согласованных смысловых блоков об одной услуге, товаре или предложении;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визуальное оформление в согласованном направлении и размещение переданных Заказчиком текстов, фотографий, логотипов и иных материалов;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адаптация ключевого содержимого и действий для распространённых размеров экранов, включая телефон;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один согласованный способ связи или целевого действия без подключения онлайн-оплаты;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подготовка тестовой версии, демонстрация и согласованные правки; подтверждённые несоответствия ТЗ исправляются до соответствия;</w:t>
      </w:r>
    </w:p>
    <w:p>
      <w:pPr>
        <w:keepNext w:val="0"/>
        <w:widowControl/>
        <w:spacing w:after="80" w:before="0" w:line="274" w:lineRule="auto"/>
        <w:ind w:left="397" w:hanging="198"/>
      </w:pPr>
      <w:r>
        <w:rPr>
          <w:rFonts w:ascii="Arial" w:hAnsi="Arial" w:eastAsia="Arial"/>
          <w:b/>
          <w:i w:val="0"/>
          <w:color w:val="123EE9"/>
          <w:sz w:val="20"/>
        </w:rPr>
        <w:t xml:space="preserve">• </w:t>
      </w:r>
      <w:r>
        <w:rPr>
          <w:rFonts w:ascii="Arial" w:hAnsi="Arial" w:eastAsia="Arial"/>
          <w:b w:val="0"/>
          <w:i w:val="0"/>
          <w:color w:val="071E55"/>
          <w:sz w:val="20"/>
        </w:rPr>
        <w:t>базовая техническая подготовка к публикации, публикация в согласованной среде и передача результата по реестру.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3.2. </w:t>
      </w:r>
      <w:r>
        <w:rPr>
          <w:rFonts w:ascii="Arial" w:hAnsi="Arial" w:eastAsia="Arial"/>
          <w:b w:val="0"/>
          <w:i w:val="0"/>
          <w:color w:val="071E55"/>
          <w:sz w:val="20"/>
        </w:rPr>
        <w:t>В базовый пакет не входят онлайн-оплата, эквайринг, онлайн-касса, корзина, товарный каталог, личный кабинет, сложный калькулятор, CRM-автоматизация, многоязычность, копирайтинг с нуля, фотосъёмка, рекламное продвижение и иные функции, не перечисленные в ТЗ.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3.3. </w:t>
      </w:r>
      <w:r>
        <w:rPr>
          <w:rFonts w:ascii="Arial" w:hAnsi="Arial" w:eastAsia="Arial"/>
          <w:b w:val="0"/>
          <w:i w:val="0"/>
          <w:color w:val="071E55"/>
          <w:sz w:val="20"/>
        </w:rPr>
        <w:t>Любая дополнительная работа выполняется только после отдельного письменного согласования состава, цены и срока до её начала. Молчание Исполнителя не означает согласия выполнить дополнительную функцию бесплатно.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4 Обязанности Исполнителя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4.1. </w:t>
      </w:r>
      <w:r>
        <w:rPr>
          <w:rFonts w:ascii="Arial" w:hAnsi="Arial" w:eastAsia="Arial"/>
          <w:b w:val="0"/>
          <w:i w:val="0"/>
          <w:color w:val="071E55"/>
          <w:sz w:val="20"/>
        </w:rPr>
        <w:t>После получения материалов Исполнитель проверяет их комплектность и направляет единый список недостающего либо подтверждает готовность к старту.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4.2.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выполняет работы профессионально, соблюдает ТЗ, сообщает о препятствиях и не подключает платные сервисы без письменного согласования Заказчика.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4.3.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предоставляет полноценный доступ для проверки, исправляет подтверждённые несоответствия ТЗ, ведёт реестр передачи и после завершения возвращает или удаляет временные доступы.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4.4.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вправе привлекать специалистов, оставаясь ответственным перед Заказчиком за их действия, конфиденциальность и наличие прав на созданный ими результат.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4.5. </w:t>
      </w:r>
      <w:r>
        <w:rPr>
          <w:rFonts w:ascii="Arial" w:hAnsi="Arial" w:eastAsia="Arial"/>
          <w:b w:val="0"/>
          <w:i w:val="0"/>
          <w:color w:val="071E55"/>
          <w:sz w:val="20"/>
        </w:rPr>
        <w:t>В разработке используются тестовые или обезличенные данные. Реальные данные посетителей не запрашиваются и не сохраняются без отдельного письменного поручения.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5 Обязанности Заказчика и материалы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5.1. </w:t>
      </w:r>
      <w:r>
        <w:rPr>
          <w:rFonts w:ascii="Arial" w:hAnsi="Arial" w:eastAsia="Arial"/>
          <w:b w:val="0"/>
          <w:i w:val="0"/>
          <w:color w:val="071E55"/>
          <w:sz w:val="20"/>
        </w:rPr>
        <w:t>Назначить одного ответственного представителя, чьи письменные согласования обязательны для Заказчика.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5.2. </w:t>
      </w:r>
      <w:r>
        <w:rPr>
          <w:rFonts w:ascii="Arial" w:hAnsi="Arial" w:eastAsia="Arial"/>
          <w:b w:val="0"/>
          <w:i w:val="0"/>
          <w:color w:val="071E55"/>
          <w:sz w:val="20"/>
        </w:rPr>
        <w:t>Передать единым согласованным комплектом актуальные тексты, изображения, логотип, контакты, реквизиты и иные материалы, перечисленные в ТЗ.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5.3. </w:t>
      </w:r>
      <w:r>
        <w:rPr>
          <w:rFonts w:ascii="Arial" w:hAnsi="Arial" w:eastAsia="Arial"/>
          <w:b w:val="0"/>
          <w:i w:val="0"/>
          <w:color w:val="071E55"/>
          <w:sz w:val="20"/>
        </w:rPr>
        <w:t>Подтвердить законность использования переданных текстов, изображений, товарных знаков, отзывов и иных материалов.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5.4. </w:t>
      </w:r>
      <w:r>
        <w:rPr>
          <w:rFonts w:ascii="Arial" w:hAnsi="Arial" w:eastAsia="Arial"/>
          <w:b w:val="0"/>
          <w:i w:val="0"/>
          <w:color w:val="071E55"/>
          <w:sz w:val="20"/>
        </w:rPr>
        <w:t>Создать и оплачивать аккаунты домена, размещения и иных заранее согласованных внешних сервисов.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5.5. </w:t>
      </w:r>
      <w:r>
        <w:rPr>
          <w:rFonts w:ascii="Arial" w:hAnsi="Arial" w:eastAsia="Arial"/>
          <w:b w:val="0"/>
          <w:i w:val="0"/>
          <w:color w:val="071E55"/>
          <w:sz w:val="20"/>
        </w:rPr>
        <w:t>Не передавать пароли, одноразовые коды и платёжные данные в обычной переписке; использовать приглашения и временные доступы, когда это возможно.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5.6. </w:t>
      </w:r>
      <w:r>
        <w:rPr>
          <w:rFonts w:ascii="Arial" w:hAnsi="Arial" w:eastAsia="Arial"/>
          <w:b w:val="0"/>
          <w:i w:val="0"/>
          <w:color w:val="071E55"/>
          <w:sz w:val="20"/>
        </w:rPr>
        <w:t>Проверить результат в установленный срок и направить единый список замечаний со ссылками на требования ТЗ.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6 Цена и порядок оплаты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6.1. </w:t>
      </w:r>
      <w:r>
        <w:rPr>
          <w:rFonts w:ascii="Arial" w:hAnsi="Arial" w:eastAsia="Arial"/>
          <w:b w:val="0"/>
          <w:i w:val="0"/>
          <w:color w:val="071E55"/>
          <w:sz w:val="20"/>
        </w:rPr>
        <w:t>Твёрдая цена базового пакета составляет 19 900 (девятнадцать тысяч девятьсот) рублей. В неё входят работы по пункту 3.1, применимые налоги Исполнителя и вознаграждение за права по разделу 9. Формулировка о НДС вносится в подписываемый экземпляр после проверки налогового статуса Исполнителя и не увеличивает цену.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6.2. </w:t>
      </w:r>
      <w:r>
        <w:rPr>
          <w:rFonts w:ascii="Arial" w:hAnsi="Arial" w:eastAsia="Arial"/>
          <w:b w:val="0"/>
          <w:i w:val="0"/>
          <w:color w:val="071E55"/>
          <w:sz w:val="20"/>
        </w:rPr>
        <w:t>Количество платежей, суммы каждого платежа, события и сроки оплаты Стороны обязательно вносят в строку «График оплаты» подписанного ТЗ. Совокупная сумма всех платежей должна составлять ровно 19 900 рублей. Пока строка не заполнена и не подписана обеими Сторонами, график оплаты не считается согласованным, счёт не выставляется и работы не начинаются.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6.3. </w:t>
      </w:r>
      <w:r>
        <w:rPr>
          <w:rFonts w:ascii="Arial" w:hAnsi="Arial" w:eastAsia="Arial"/>
          <w:b w:val="0"/>
          <w:i w:val="0"/>
          <w:color w:val="071E55"/>
          <w:sz w:val="20"/>
        </w:rPr>
        <w:t>Все счета, акты и уведомления об оплате исходят только от ИП Куракиной Юлии Сергеевны. Оплата принимается исключительно безналичным переводом на расчётный счёт этого ИП, одновременно указанный в подписанном договоре и счёте. Перевод на личную карту или третьему лицу не является надлежащей оплатой.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6.4. </w:t>
      </w:r>
      <w:r>
        <w:rPr>
          <w:rFonts w:ascii="Arial" w:hAnsi="Arial" w:eastAsia="Arial"/>
          <w:b w:val="0"/>
          <w:i w:val="0"/>
          <w:color w:val="071E55"/>
          <w:sz w:val="20"/>
        </w:rPr>
        <w:t>Домен, размещение, платные шрифты, стоки, API и другие внешние сервисы не входят в цену и оплачиваются Заказчиком напрямую поставщикам только после письменного согласования названия, тарифа, ориентировочной стоимости, плательщика и наличия автопродления.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6.5.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не вправе в одностороннем порядке увеличивать цену или превращать сообщённый Заказчиком бюджет в цену VIDARA NEIRO. Дополнительные платежи обязательны только по подписанному соглашению до начала дополнительных работ.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7 Сроки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7.1. </w:t>
      </w:r>
      <w:r>
        <w:rPr>
          <w:rFonts w:ascii="Arial" w:hAnsi="Arial" w:eastAsia="Arial"/>
          <w:b w:val="0"/>
          <w:i w:val="0"/>
          <w:color w:val="071E55"/>
          <w:sz w:val="20"/>
        </w:rPr>
        <w:t>Конкретный срок разработки и контрольная дата публикации обязательно указываются в подписанном ТЗ. Незаполненное поле не создаёт предполагаемый срок и должно быть согласовано до начала работ.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7.2. </w:t>
      </w:r>
      <w:r>
        <w:rPr>
          <w:rFonts w:ascii="Arial" w:hAnsi="Arial" w:eastAsia="Arial"/>
          <w:b w:val="0"/>
          <w:i w:val="0"/>
          <w:color w:val="071E55"/>
          <w:sz w:val="20"/>
        </w:rPr>
        <w:t>Срок начинается на следующий рабочий день после одновременного подписания договора и ТЗ, поступления платежа, который по согласованному графику необходим для старта, письменного подтверждения полного комплекта материалов и получения необходимых доступов.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7.3. </w:t>
      </w:r>
      <w:r>
        <w:rPr>
          <w:rFonts w:ascii="Arial" w:hAnsi="Arial" w:eastAsia="Arial"/>
          <w:b w:val="0"/>
          <w:i w:val="0"/>
          <w:color w:val="071E55"/>
          <w:sz w:val="20"/>
        </w:rPr>
        <w:t>Срок приостанавливается только на фактический период документированного ожидания решения, материала или доступа от Заказчика либо недоступности согласованного внешнего сервиса. Исполнитель сообщает конкретную причину и после её устранения подтверждает новую контрольную дату.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7.4. </w:t>
      </w:r>
      <w:r>
        <w:rPr>
          <w:rFonts w:ascii="Arial" w:hAnsi="Arial" w:eastAsia="Arial"/>
          <w:b w:val="0"/>
          <w:i w:val="0"/>
          <w:color w:val="071E55"/>
          <w:sz w:val="20"/>
        </w:rPr>
        <w:t>Изменение объёма или срока действительно только после письменного соглашения Сторон. Если Заказчик не отвечает более 10 рабочих дней, Исполнитель вправе приостановить проект после уведомления; возобновление происходит по согласованной контрольной дате.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8 Сдача, проверка и приёмка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8.1. </w:t>
      </w:r>
      <w:r>
        <w:rPr>
          <w:rFonts w:ascii="Arial" w:hAnsi="Arial" w:eastAsia="Arial"/>
          <w:b w:val="0"/>
          <w:i w:val="0"/>
          <w:color w:val="071E55"/>
          <w:sz w:val="20"/>
        </w:rPr>
        <w:t>После завершения Исполнитель направляет уведомление о готовности, рабочую ссылку и доступы, акт и перечень сценариев проверки.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8.2. </w:t>
      </w:r>
      <w:r>
        <w:rPr>
          <w:rFonts w:ascii="Arial" w:hAnsi="Arial" w:eastAsia="Arial"/>
          <w:b w:val="0"/>
          <w:i w:val="0"/>
          <w:color w:val="071E55"/>
          <w:sz w:val="20"/>
        </w:rPr>
        <w:t>Заказчик в течение 3 рабочих дней подписывает акт либо направляет единый мотивированный список несоответствий со ссылками на ТЗ. До истечения срока Заказчик может письменно попросить до 2 дополнительных рабочих дней, если объём проверки объективно этого требует.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8.3.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бесплатно устраняет все подтверждённые несоответствия ТЗ и повторно предъявляет результат. Обычный срок исправления — до 5 рабочих дней; если объективно требуется больше, Исполнитель заранее обосновывает и согласует дату. Единый список организует проверку и не ограничивает количество циклов, необходимых для устранения подтверждённых дефектов.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8.4. </w:t>
      </w:r>
      <w:r>
        <w:rPr>
          <w:rFonts w:ascii="Arial" w:hAnsi="Arial" w:eastAsia="Arial"/>
          <w:b w:val="0"/>
          <w:i w:val="0"/>
          <w:color w:val="071E55"/>
          <w:sz w:val="20"/>
        </w:rPr>
        <w:t>Если ответ не получен, Исполнитель направляет напоминание и предоставляет не менее 3 дополнительных рабочих дней. Результат может считаться принятым по истечении этого срока только при подтверждённой доставке уведомлений, стабильном полноценном доступе и отсутствии сообщённого технического препятствия к проверке.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8.5. </w:t>
      </w:r>
      <w:r>
        <w:rPr>
          <w:rFonts w:ascii="Arial" w:hAnsi="Arial" w:eastAsia="Arial"/>
          <w:b w:val="0"/>
          <w:i w:val="0"/>
          <w:color w:val="071E55"/>
          <w:sz w:val="20"/>
        </w:rPr>
        <w:t>Приёмка не лишает Заказчика права сообщить о скрытом воспроизводимом дефекте. Обязательные права и сроки требований, установленные законом, не ограничиваются сроками договора.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9 Права на результат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9.1. </w:t>
      </w:r>
      <w:r>
        <w:rPr>
          <w:rFonts w:ascii="Arial" w:hAnsi="Arial" w:eastAsia="Arial"/>
          <w:b w:val="0"/>
          <w:i w:val="0"/>
          <w:color w:val="071E55"/>
          <w:sz w:val="20"/>
        </w:rPr>
        <w:t>Материалы Заказчика остаются его собственностью. Заказчик разрешает использовать их только для исполнения договора и подтверждает наличие необходимых прав.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9.2. </w:t>
      </w:r>
      <w:r>
        <w:rPr>
          <w:rFonts w:ascii="Arial" w:hAnsi="Arial" w:eastAsia="Arial"/>
          <w:b w:val="0"/>
          <w:i w:val="0"/>
          <w:color w:val="071E55"/>
          <w:sz w:val="20"/>
        </w:rPr>
        <w:t>После полной оплаты и подписания реестра передачи Исполнитель передаёт Заказчику согласованный объём исключительных прав на индивидуальный результат, прямо перечисленный в ТЗ и реестре. Допустимые способы использования, территория и срок фиксируются в подписанном комплекте документов; вознаграждение включено в цену 19 900 рублей.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9.3. </w:t>
      </w:r>
      <w:r>
        <w:rPr>
          <w:rFonts w:ascii="Arial" w:hAnsi="Arial" w:eastAsia="Arial"/>
          <w:b w:val="0"/>
          <w:i w:val="0"/>
          <w:color w:val="071E55"/>
          <w:sz w:val="20"/>
        </w:rPr>
        <w:t>На встроенные базовые модули Исполнитель предоставляет лицензию в объёме, необходимом для эксплуатации и изменения лендинга Заказчика. Базовые модули нельзя извлекать и продавать отдельно как шаблон, фабрику или конкурирующий продукт. Вознаграждение включено в цену договора.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9.4. </w:t>
      </w:r>
      <w:r>
        <w:rPr>
          <w:rFonts w:ascii="Arial" w:hAnsi="Arial" w:eastAsia="Arial"/>
          <w:b w:val="0"/>
          <w:i w:val="0"/>
          <w:color w:val="071E55"/>
          <w:sz w:val="20"/>
        </w:rPr>
        <w:t>Сторонние библиотеки, шрифты, изображения и сервисы используются по условиям их лицензий. Существенные ограничения и перечень сторонних компонентов указываются в реестре передачи.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9.5.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подтверждает наличие прав на созданный им результат. Использование названия, изображения лендинга, показателей или материалов Заказчика в портфолио допускается только с отдельного письменного согласия.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10 Персональные данные, конфиденциальность и доступы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10.1. </w:t>
      </w:r>
      <w:r>
        <w:rPr>
          <w:rFonts w:ascii="Arial" w:hAnsi="Arial" w:eastAsia="Arial"/>
          <w:b w:val="0"/>
          <w:i w:val="0"/>
          <w:color w:val="071E55"/>
          <w:sz w:val="20"/>
        </w:rPr>
        <w:t>После публикации Заказчик самостоятельно определяет цели и способы обработки данных посетителей и является оператором этих персональных данных. По умолчанию Исполнитель не получает и не хранит реальные обращения посетителей.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10.2. </w:t>
      </w:r>
      <w:r>
        <w:rPr>
          <w:rFonts w:ascii="Arial" w:hAnsi="Arial" w:eastAsia="Arial"/>
          <w:b w:val="0"/>
          <w:i w:val="0"/>
          <w:color w:val="071E55"/>
          <w:sz w:val="20"/>
        </w:rPr>
        <w:t>Если согласованная форма или сопровождение требуют доступа Исполнителя к реальным персональным данным, до доступа Стороны подписывают отдельное поручение по форме приложения 3. В нём указываются данные, субъекты, операции, цели, место хранения, сервисы, меры защиты, сроки и порядок удаления.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10.3.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сообщает Заказчику о выявленном инциденте с персональными данными не позднее 24 часов с момента обнаружения и предоставляет известные сведения для выполнения обязанностей оператора.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10.4. </w:t>
      </w:r>
      <w:r>
        <w:rPr>
          <w:rFonts w:ascii="Arial" w:hAnsi="Arial" w:eastAsia="Arial"/>
          <w:b w:val="0"/>
          <w:i w:val="0"/>
          <w:color w:val="071E55"/>
          <w:sz w:val="20"/>
        </w:rPr>
        <w:t>Стороны не раскрывают непубличные коммерческие, технические и организационные сведения, кроме случаев, необходимых для исполнения, прямо согласованных Сторонами или предусмотренных законом. Обязанность сохраняется 3 года после прекращения договора.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10.5. </w:t>
      </w:r>
      <w:r>
        <w:rPr>
          <w:rFonts w:ascii="Arial" w:hAnsi="Arial" w:eastAsia="Arial"/>
          <w:b w:val="0"/>
          <w:i w:val="0"/>
          <w:color w:val="071E55"/>
          <w:sz w:val="20"/>
        </w:rPr>
        <w:t>Пароли, секретные ключи, одноразовые коды и платёжные данные не передаются в обычном чате или форме сайта. Используются минимальные роли, приглашения и временные доступы; после передачи они удаляются, возвращаются или отзываются.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11 Гарантия и сопровождение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11.1. </w:t>
      </w:r>
      <w:r>
        <w:rPr>
          <w:rFonts w:ascii="Arial" w:hAnsi="Arial" w:eastAsia="Arial"/>
          <w:b w:val="0"/>
          <w:i w:val="0"/>
          <w:color w:val="071E55"/>
          <w:sz w:val="20"/>
        </w:rPr>
        <w:t>В течение 30 календарных дней с даты окончательной приёмки Исполнитель бесплатно исправляет воспроизводимые технические дефекты в рамках ТЗ. Это условие не ограничивает обязательные права и требования Сторон по закону.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11.2. </w:t>
      </w:r>
      <w:r>
        <w:rPr>
          <w:rFonts w:ascii="Arial" w:hAnsi="Arial" w:eastAsia="Arial"/>
          <w:b w:val="0"/>
          <w:i w:val="0"/>
          <w:color w:val="071E55"/>
          <w:sz w:val="20"/>
        </w:rPr>
        <w:t>Гарантия не распространяется на новые требования, изменения Заказчика или третьих лиц, изменение внешнего API, неуплату внешнего сервиса, вредоносные действия из аккаунтов Заказчика и использование с нарушением инструкции.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11.3. </w:t>
      </w:r>
      <w:r>
        <w:rPr>
          <w:rFonts w:ascii="Arial" w:hAnsi="Arial" w:eastAsia="Arial"/>
          <w:b w:val="0"/>
          <w:i w:val="0"/>
          <w:color w:val="071E55"/>
          <w:sz w:val="20"/>
        </w:rPr>
        <w:t>Дополнительное сопровождение не входит в базовый пакет, не подключается и не продлевается автоматически. Его состав, срок, сроки реакции и цена оформляются отдельным письменным заказом до начала сопровождения.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12 Публикация, трафик и внешние сервисы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12.1.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создаёт и настраивает лендинг, но не гарантирует объём заявок, продаж, выручку, окупаемость, рекламный результат или конкретные позиции в поиске.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12.2. </w:t>
      </w:r>
      <w:r>
        <w:rPr>
          <w:rFonts w:ascii="Arial" w:hAnsi="Arial" w:eastAsia="Arial"/>
          <w:b w:val="0"/>
          <w:i w:val="0"/>
          <w:color w:val="071E55"/>
          <w:sz w:val="20"/>
        </w:rPr>
        <w:t>В базовый пакет входит техническая подготовка одной страницы: понятный адрес, заголовок и метаописание, канонический адрес, корректная структура заголовков и мобильная адаптация; иные SEO-работы согласуются отдельно.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12.3. </w:t>
      </w:r>
      <w:r>
        <w:rPr>
          <w:rFonts w:ascii="Arial" w:hAnsi="Arial" w:eastAsia="Arial"/>
          <w:b w:val="0"/>
          <w:i w:val="0"/>
          <w:color w:val="071E55"/>
          <w:sz w:val="20"/>
        </w:rPr>
        <w:t>Работоспособность домена, размещения, почты, мессенджера, аналитики и других внешних сервисов зависит от их поставщиков. Исполнитель обязан сообщить о выявленной зависимости и выполнить согласованные действия со своей стороны.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13 Ответственность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13.1. </w:t>
      </w:r>
      <w:r>
        <w:rPr>
          <w:rFonts w:ascii="Arial" w:hAnsi="Arial" w:eastAsia="Arial"/>
          <w:b w:val="0"/>
          <w:i w:val="0"/>
          <w:color w:val="071E55"/>
          <w:sz w:val="20"/>
        </w:rPr>
        <w:t>Каждая Сторона возмещает другой Стороне документально подтверждённый прямой реальный ущерб, причинённый её виновным нарушением. Упущенная выгода и косвенные потери не возмещаются, если иное не установлено обязательной нормой закона.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13.2. </w:t>
      </w:r>
      <w:r>
        <w:rPr>
          <w:rFonts w:ascii="Arial" w:hAnsi="Arial" w:eastAsia="Arial"/>
          <w:b w:val="0"/>
          <w:i w:val="0"/>
          <w:color w:val="071E55"/>
          <w:sz w:val="20"/>
        </w:rPr>
        <w:t>Совокупная договорная ответственность каждой Стороны ограничивается ценой договора. Ограничение не применяется к умышленному нарушению, нарушению конфиденциальности, обязанностей по персональным данным и интеллектуальным правам, а также к случаям, когда ответственность не может быть ограничена законом.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13.3. </w:t>
      </w:r>
      <w:r>
        <w:rPr>
          <w:rFonts w:ascii="Arial" w:hAnsi="Arial" w:eastAsia="Arial"/>
          <w:b w:val="0"/>
          <w:i w:val="0"/>
          <w:color w:val="071E55"/>
          <w:sz w:val="20"/>
        </w:rPr>
        <w:t>Заказчик отвечает за законность переданных материалов, товарных знаков, изображений, текстов, реквизитов и инструкций. Исполнитель отвечает за созданный им результат и не освобождается от ответственности, если знал или должен был знать о нарушении.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14 Отказ от договора и расчёты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14.1. </w:t>
      </w:r>
      <w:r>
        <w:rPr>
          <w:rFonts w:ascii="Arial" w:hAnsi="Arial" w:eastAsia="Arial"/>
          <w:b w:val="0"/>
          <w:i w:val="0"/>
          <w:color w:val="071E55"/>
          <w:sz w:val="20"/>
        </w:rPr>
        <w:t>Заказчик вправе отказаться от договора письменным уведомлением. Исполнитель прекращает новые работы, передаёт пригодный промежуточный результат и в течение 5 рабочих дней предоставляет подробный расчёт фактически выполненной и передаваемой части, а также подтверждённых заранее согласованных расходов.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14.2. </w:t>
      </w:r>
      <w:r>
        <w:rPr>
          <w:rFonts w:ascii="Arial" w:hAnsi="Arial" w:eastAsia="Arial"/>
          <w:b w:val="0"/>
          <w:i w:val="0"/>
          <w:color w:val="071E55"/>
          <w:sz w:val="20"/>
        </w:rPr>
        <w:t>Для незавершённого результата учитываются только фактически созданные и передаваемые элементы и подтверждённые расходы. Формулировки «иные суммы» без расчёта и документов не применяются.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14.3. </w:t>
      </w:r>
      <w:r>
        <w:rPr>
          <w:rFonts w:ascii="Arial" w:hAnsi="Arial" w:eastAsia="Arial"/>
          <w:b w:val="0"/>
          <w:i w:val="0"/>
          <w:color w:val="071E55"/>
          <w:sz w:val="20"/>
        </w:rPr>
        <w:t>Бесспорная разница между оплатой и суммой по расчёту возвращается Заказчику в течение 10 рабочих дней после получения уведомления и банковских реквизитов; спорная часть рассматривается отдельно.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14.4.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вправе приостановить работу при просрочке согласованного платежа, отсутствии материалов, незаконном требовании или угрозе безопасности после письменного уведомления и предоставления не менее 3 рабочих дней для устранения причины.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14.5. </w:t>
      </w:r>
      <w:r>
        <w:rPr>
          <w:rFonts w:ascii="Arial" w:hAnsi="Arial" w:eastAsia="Arial"/>
          <w:b w:val="0"/>
          <w:i w:val="0"/>
          <w:color w:val="071E55"/>
          <w:sz w:val="20"/>
        </w:rPr>
        <w:t>При прекращении договора Исполнитель передаёт оплаченные пригодные результаты и отзывает временные доступы; Заказчик оплачивает только суммы, причитающиеся по прозрачному расчёту и применимому закону.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15 Обстоятельства непреодолимой силы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15.1. </w:t>
      </w:r>
      <w:r>
        <w:rPr>
          <w:rFonts w:ascii="Arial" w:hAnsi="Arial" w:eastAsia="Arial"/>
          <w:b w:val="0"/>
          <w:i w:val="0"/>
          <w:color w:val="071E55"/>
          <w:sz w:val="20"/>
        </w:rPr>
        <w:t>Сторона освобождается от ответственности за неисполнение, вызванное чрезвычайными и непредотвратимыми обстоятельствами вне её разумного контроля, если без неоправданной задержки уведомит другую Сторону и подтвердит влияние обстоятельства на обязательство.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15.2. </w:t>
      </w:r>
      <w:r>
        <w:rPr>
          <w:rFonts w:ascii="Arial" w:hAnsi="Arial" w:eastAsia="Arial"/>
          <w:b w:val="0"/>
          <w:i w:val="0"/>
          <w:color w:val="071E55"/>
          <w:sz w:val="20"/>
        </w:rPr>
        <w:t>Нехватка денег, обычный сбой подрядчика или отсутствие сотрудника сами по себе не являются обстоятельствами непреодолимой силы.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16 Переписка и электронные документы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16.1. </w:t>
      </w:r>
      <w:r>
        <w:rPr>
          <w:rFonts w:ascii="Arial" w:hAnsi="Arial" w:eastAsia="Arial"/>
          <w:b w:val="0"/>
          <w:i w:val="0"/>
          <w:color w:val="071E55"/>
          <w:sz w:val="20"/>
        </w:rPr>
        <w:t>Юридически значимые сообщения направляются на email и в рабочий чат, указанные в реквизитах или ТЗ. Каждая Сторона контролирует доступ к своим адресам и незамедлительно сообщает о компрометации.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16.2. </w:t>
      </w:r>
      <w:r>
        <w:rPr>
          <w:rFonts w:ascii="Arial" w:hAnsi="Arial" w:eastAsia="Arial"/>
          <w:b w:val="0"/>
          <w:i w:val="0"/>
          <w:color w:val="071E55"/>
          <w:sz w:val="20"/>
        </w:rPr>
        <w:t>Скан подписанного документа и документ, подписанный допустимой электронной подписью, применяются до обмена оригиналами, если закон не требует иной формы. Устные решения подтверждаются письменно.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16.3. </w:t>
      </w:r>
      <w:r>
        <w:rPr>
          <w:rFonts w:ascii="Arial" w:hAnsi="Arial" w:eastAsia="Arial"/>
          <w:b w:val="0"/>
          <w:i w:val="0"/>
          <w:color w:val="071E55"/>
          <w:sz w:val="20"/>
        </w:rPr>
        <w:t>Цена, срок, объём, график оплаты и права изменяются только подписанным дополнительным соглашением либо подписанным документом, которым Стороны обмениваются с согласованных адресов. Обычная рабочая переписка сама по себе не изменяет эти условия.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17 Споры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17.1. </w:t>
      </w:r>
      <w:r>
        <w:rPr>
          <w:rFonts w:ascii="Arial" w:hAnsi="Arial" w:eastAsia="Arial"/>
          <w:b w:val="0"/>
          <w:i w:val="0"/>
          <w:color w:val="071E55"/>
          <w:sz w:val="20"/>
        </w:rPr>
        <w:t>Стороны применяют право Российской Федерации и сначала направляют письменную претензию. Срок ответа — 15 рабочих дней с даты подтверждённого получения.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17.2. </w:t>
      </w:r>
      <w:r>
        <w:rPr>
          <w:rFonts w:ascii="Arial" w:hAnsi="Arial" w:eastAsia="Arial"/>
          <w:b w:val="0"/>
          <w:i w:val="0"/>
          <w:color w:val="071E55"/>
          <w:sz w:val="20"/>
        </w:rPr>
        <w:t>Если спор не урегулирован, он рассматривается компетентным арбитражным судом по месту нахождения ответчика, если обязательная норма закона не устанавливает иное.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18 Срок действия и прочие условия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18.1. </w:t>
      </w:r>
      <w:r>
        <w:rPr>
          <w:rFonts w:ascii="Arial" w:hAnsi="Arial" w:eastAsia="Arial"/>
          <w:b w:val="0"/>
          <w:i w:val="0"/>
          <w:color w:val="071E55"/>
          <w:sz w:val="20"/>
        </w:rPr>
        <w:t>Договор действует с даты подписания до полного исполнения обязательств. Условия о правах, конфиденциальности, расчётах, персональных данных и ответственности сохраняют действие после прекращения в применимой части.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18.2. </w:t>
      </w:r>
      <w:r>
        <w:rPr>
          <w:rFonts w:ascii="Arial" w:hAnsi="Arial" w:eastAsia="Arial"/>
          <w:b w:val="0"/>
          <w:i w:val="0"/>
          <w:color w:val="071E55"/>
          <w:sz w:val="20"/>
        </w:rPr>
        <w:t>Недействительность одного условия не влечёт недействительность остальных. Стороны заменяют его ближайшим законным условием, сохраняющим экономический смысл и баланс интересов.</w:t>
      </w:r>
    </w:p>
    <w:p>
      <w:pPr>
        <w:keepNext w:val="0"/>
        <w:widowControl/>
        <w:spacing w:after="100" w:before="0" w:line="274" w:lineRule="auto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18.3. </w:t>
      </w:r>
      <w:r>
        <w:rPr>
          <w:rFonts w:ascii="Arial" w:hAnsi="Arial" w:eastAsia="Arial"/>
          <w:b w:val="0"/>
          <w:i w:val="0"/>
          <w:color w:val="071E55"/>
          <w:sz w:val="20"/>
        </w:rPr>
        <w:t>При противоречии документов приоритет имеют: подписанное дополнительное соглашение, договор, ТЗ, реестр передачи, акт, бриф и иная переписка.</w:t>
      </w:r>
    </w:p>
    <w:p>
      <w:pPr>
        <w:keepNext/>
        <w:widowControl/>
        <w:spacing w:after="140" w:before="200" w:line="240" w:lineRule="auto"/>
      </w:pPr>
      <w:r>
        <w:rPr>
          <w:rFonts w:ascii="Arial" w:hAnsi="Arial" w:eastAsia="Arial"/>
          <w:b/>
          <w:i w:val="0"/>
          <w:color w:val="0A2A78"/>
          <w:sz w:val="30"/>
        </w:rPr>
        <w:t>19 Реквизиты и подписи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4819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Исполнитель</w:t>
            </w:r>
          </w:p>
        </w:tc>
        <w:tc>
          <w:tcPr>
            <w:tcW w:type="dxa" w:w="4819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Заказчик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ИП Куракина Юлия Сергеевна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Наименование ______________________________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ИНН 614405310804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ИНН / КПП ________________________________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ОГРНИП 318420500011684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ОГРН / ОГРНИП ____________________________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Адрес регистрации: указывается по актуальной выписке ЕГРИП в подписанном экземпляре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Адрес ____________________________________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Email: vidara.order@mail.ru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Email ____________________________________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Рабочий чат: __________________________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Рабочий чат: _____________________________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Расчётный счёт, банк, БИК и корреспондентский счёт: указываются по актуальной справке банка в подписанном экземпляре и счёте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Расчётный счёт и банк 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Налоговый режим и формулировка о НДС: указываются после проверки; цену 19 900 ₽ не увеличивают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Подписант и основание полномочий 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 / Куракина Ю. С.</w:t>
            </w:r>
          </w:p>
        </w:tc>
        <w:tc>
          <w:tcPr>
            <w:tcW w:type="dxa" w:w="481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 / 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widowControl/>
        <w:spacing w:after="140" w:before="0" w:line="240" w:lineRule="auto"/>
      </w:pPr>
      <w:r>
        <w:rPr>
          <w:rFonts w:ascii="Arial" w:hAnsi="Arial" w:eastAsia="Arial"/>
          <w:b/>
          <w:i w:val="0"/>
          <w:color w:val="123EE9"/>
          <w:sz w:val="24"/>
        </w:rPr>
        <w:t>Приложение 1</w:t>
      </w:r>
    </w:p>
    <w:p>
      <w:pPr>
        <w:keepNext/>
        <w:widowControl/>
        <w:spacing w:after="160" w:before="0" w:line="240" w:lineRule="auto"/>
      </w:pPr>
      <w:r>
        <w:rPr>
          <w:rFonts w:ascii="Arial" w:hAnsi="Arial" w:eastAsia="Arial"/>
          <w:b/>
          <w:i w:val="0"/>
          <w:color w:val="0A2A78"/>
          <w:sz w:val="36"/>
        </w:rPr>
        <w:t>Техническое задание</w:t>
      </w:r>
    </w:p>
    <w:p>
      <w:pPr>
        <w:keepNext w:val="0"/>
        <w:widowControl/>
        <w:spacing w:after="240" w:before="0" w:line="274" w:lineRule="auto"/>
      </w:pPr>
      <w:r>
        <w:rPr>
          <w:rFonts w:ascii="Arial" w:hAnsi="Arial" w:eastAsia="Arial"/>
          <w:b w:val="0"/>
          <w:i/>
          <w:color w:val="304C7E"/>
          <w:sz w:val="20"/>
        </w:rPr>
        <w:t>К договору № ______ от «___» __________ 20___ г.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tblHeader w:val="true"/>
          <w:cantSplit/>
        </w:trPr>
        <w:tc>
          <w:tcPr>
            <w:tcW w:type="dxa" w:w="2324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Раздел</w:t>
            </w:r>
          </w:p>
        </w:tc>
        <w:tc>
          <w:tcPr>
            <w:tcW w:type="dxa" w:w="4195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Что фиксируем</w:t>
            </w:r>
          </w:p>
        </w:tc>
        <w:tc>
          <w:tcPr>
            <w:tcW w:type="dxa" w:w="3118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Согласованное значение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Проект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Название, услуга или предложение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Цель и аудитория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Цель лендинга и основные посетители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Целевое действие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Сообщение, звонок, письмо или другое действие без онлайн-оплаты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Блок 1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Название и содержание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Блок 2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Название и содержание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Блок 3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Название и содержание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Блок 4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Название и содержание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Блок 5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Название и содержание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Блоки 6–8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При необходимости; всего не более 8 блоков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Материалы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Тексты, изображения, логотип, контакты и правовые тексты Заказчика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Визуальное направление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Цвета, типографика, референсы и ограничения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Мобильная версия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Ключевые размеры экранов и сценарии проверки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Домен и размещение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Аккаунт владельца, домен и среда публикации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Внешние сервисы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Только заранее согласованные сервисы, тарифы и плательщик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Персональные данные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Потоки данных и сервисы; либо «реальные данные Исполнителю не передаются»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Индивидуальный результат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Специально создаваемые объекты и объём передаваемых прав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Базовые модули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Встроенные компоненты и ограничения лицензии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График оплаты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Количество платежей, суммы, события и сроки; сумма всех платежей = 19 900 ₽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Срок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Дата старта, длительность и контрольная дата публикации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Исключения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Онлайн-оплата, корзина, каталог, кабинет и другие не входящие функции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Приёмка</w:t>
            </w:r>
          </w:p>
        </w:tc>
        <w:tc>
          <w:tcPr>
            <w:tcW w:type="dxa" w:w="419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Сценарии проверки страницы, телефона, ссылок и передачи</w:t>
            </w:r>
          </w:p>
        </w:tc>
        <w:tc>
          <w:tcPr>
            <w:tcW w:type="dxa" w:w="311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keepNext/>
        <w:widowControl/>
        <w:spacing w:after="100" w:before="120" w:line="240" w:lineRule="auto"/>
      </w:pPr>
      <w:r>
        <w:rPr>
          <w:rFonts w:ascii="Arial" w:hAnsi="Arial" w:eastAsia="Arial"/>
          <w:b/>
          <w:i w:val="0"/>
          <w:color w:val="0A2A78"/>
          <w:sz w:val="22"/>
        </w:rPr>
        <w:t>Техническое задание · подтверждения сторон</w:t>
      </w:r>
    </w:p>
    <w:p>
      <w:pPr>
        <w:keepNext w:val="0"/>
        <w:widowControl/>
        <w:spacing w:after="80" w:before="0" w:line="274" w:lineRule="auto"/>
        <w:ind w:left="408" w:hanging="408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 </w:t>
      </w:r>
      <w:r>
        <w:rPr>
          <w:rFonts w:ascii="Arial" w:hAnsi="Arial" w:eastAsia="Arial"/>
          <w:b w:val="0"/>
          <w:i w:val="0"/>
          <w:color w:val="071E55"/>
          <w:sz w:val="20"/>
        </w:rPr>
        <w:t>Заказчик подтверждает, что переданные материалы получены законно и могут использоваться в проекте.</w:t>
      </w:r>
    </w:p>
    <w:p>
      <w:pPr>
        <w:keepNext w:val="0"/>
        <w:widowControl/>
        <w:spacing w:after="80" w:before="0" w:line="274" w:lineRule="auto"/>
        <w:ind w:left="408" w:hanging="408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2. </w:t>
      </w:r>
      <w:r>
        <w:rPr>
          <w:rFonts w:ascii="Arial" w:hAnsi="Arial" w:eastAsia="Arial"/>
          <w:b w:val="0"/>
          <w:i w:val="0"/>
          <w:color w:val="071E55"/>
          <w:sz w:val="20"/>
        </w:rPr>
        <w:t>Реальные персональные данные посетителей для разработки не передаются, если отдельное поручение на обработку не подписано.</w:t>
      </w:r>
    </w:p>
    <w:p>
      <w:pPr>
        <w:keepNext w:val="0"/>
        <w:widowControl/>
        <w:spacing w:after="80" w:before="0" w:line="274" w:lineRule="auto"/>
        <w:ind w:left="408" w:hanging="408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3. </w:t>
      </w:r>
      <w:r>
        <w:rPr>
          <w:rFonts w:ascii="Arial" w:hAnsi="Arial" w:eastAsia="Arial"/>
          <w:b w:val="0"/>
          <w:i w:val="0"/>
          <w:color w:val="071E55"/>
          <w:sz w:val="20"/>
        </w:rPr>
        <w:t>График оплаты заполнен; сумма всех платежей проверена и составляет ровно 19 900 рублей.</w:t>
      </w:r>
    </w:p>
    <w:p>
      <w:pPr>
        <w:keepNext w:val="0"/>
        <w:widowControl/>
        <w:spacing w:after="80" w:before="0" w:line="274" w:lineRule="auto"/>
        <w:ind w:left="408" w:hanging="408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4. </w:t>
      </w:r>
      <w:r>
        <w:rPr>
          <w:rFonts w:ascii="Arial" w:hAnsi="Arial" w:eastAsia="Arial"/>
          <w:b w:val="0"/>
          <w:i w:val="0"/>
          <w:color w:val="071E55"/>
          <w:sz w:val="20"/>
        </w:rPr>
        <w:t>Изменения после подписания ТЗ оформляются письменным соглашением с указанием цены и срока.</w:t>
      </w:r>
    </w:p>
    <w:p>
      <w:pPr>
        <w:keepNext w:val="0"/>
        <w:widowControl/>
        <w:spacing w:after="100" w:before="240" w:line="274" w:lineRule="auto"/>
      </w:pPr>
      <w:r>
        <w:rPr>
          <w:rFonts w:ascii="Arial" w:hAnsi="Arial" w:eastAsia="Arial"/>
          <w:b w:val="0"/>
          <w:i w:val="0"/>
          <w:color w:val="071E55"/>
          <w:sz w:val="20"/>
        </w:rPr>
        <w:t>Исполнитель __________________ / Куракина Ю. С.     Заказчик __________________ / __________________</w:t>
      </w:r>
    </w:p>
    <w:p>
      <w:pPr>
        <w:keepNext/>
        <w:widowControl/>
        <w:spacing w:after="140" w:before="0" w:line="240" w:lineRule="auto"/>
      </w:pPr>
      <w:r>
        <w:rPr>
          <w:rFonts w:ascii="Arial" w:hAnsi="Arial" w:eastAsia="Arial"/>
          <w:b/>
          <w:i w:val="0"/>
          <w:color w:val="123EE9"/>
          <w:sz w:val="24"/>
        </w:rPr>
        <w:t>Приложение 2</w:t>
      </w:r>
    </w:p>
    <w:p>
      <w:pPr>
        <w:keepNext/>
        <w:widowControl/>
        <w:spacing w:after="160" w:before="0" w:line="240" w:lineRule="auto"/>
      </w:pPr>
      <w:r>
        <w:rPr>
          <w:rFonts w:ascii="Arial" w:hAnsi="Arial" w:eastAsia="Arial"/>
          <w:b/>
          <w:i w:val="0"/>
          <w:color w:val="0A2A78"/>
          <w:sz w:val="36"/>
        </w:rPr>
        <w:t>Реестр передачи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tblHeader w:val="true"/>
          <w:cantSplit/>
        </w:trPr>
        <w:tc>
          <w:tcPr>
            <w:tcW w:type="dxa" w:w="3005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Передаваемый элемент</w:t>
            </w:r>
          </w:p>
        </w:tc>
        <w:tc>
          <w:tcPr>
            <w:tcW w:type="dxa" w:w="3175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Способ передачи</w:t>
            </w:r>
          </w:p>
        </w:tc>
        <w:tc>
          <w:tcPr>
            <w:tcW w:type="dxa" w:w="3458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Статус и примечание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Опубликованный лендинг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Домен / ссылка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Экспорт клиентского проекта или сборка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Ссылка / архив — только в объёме ТЗ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Индивидуальный результат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Перечень файлов и объектов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Домен и DNS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Аккаунт Заказчика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Размещение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Аккаунт / приглашение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Административный доступ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Приглашение с ролью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Инструкция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Файл / ссылка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Перечень сторонних лицензий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Файл / раздел инструкции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Перечень базовых модулей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Раздел инструкции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Резервная копия на дату передачи</w:t>
            </w:r>
          </w:p>
        </w:tc>
        <w:tc>
          <w:tcPr>
            <w:tcW w:type="dxa" w:w="3175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Только если прямо включена в ТЗ</w:t>
            </w:r>
          </w:p>
        </w:tc>
        <w:tc>
          <w:tcPr>
            <w:tcW w:type="dxa" w:w="345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</w:t>
            </w:r>
          </w:p>
        </w:tc>
      </w:tr>
    </w:tbl>
    <w:p>
      <w:pPr>
        <w:spacing w:after="20"/>
      </w:pPr>
    </w:p>
    <w:p>
      <w:pPr>
        <w:keepNext w:val="0"/>
        <w:widowControl/>
        <w:spacing w:after="160" w:before="160" w:line="274" w:lineRule="auto"/>
      </w:pPr>
      <w:r>
        <w:rPr>
          <w:rFonts w:ascii="Arial" w:hAnsi="Arial" w:eastAsia="Arial"/>
          <w:b w:val="0"/>
          <w:i/>
          <w:color w:val="304C7E"/>
          <w:sz w:val="20"/>
        </w:rPr>
        <w:t>Внутренние инструменты VIDARA NEIRO и исходный код универсальных базовых модулей не входят в передачу, если прямо не перечислены выше.</w:t>
      </w:r>
    </w:p>
    <w:p>
      <w:pPr>
        <w:keepNext w:val="0"/>
        <w:widowControl/>
        <w:spacing w:after="200" w:before="0" w:line="274" w:lineRule="auto"/>
      </w:pPr>
      <w:r>
        <w:rPr>
          <w:rFonts w:ascii="Arial" w:hAnsi="Arial" w:eastAsia="Arial"/>
          <w:b w:val="0"/>
          <w:i w:val="0"/>
          <w:color w:val="071E55"/>
          <w:sz w:val="20"/>
        </w:rPr>
        <w:t>Заказчик подтверждает получение перечисленного комплекта. Временные доступы Исполнителя отзываются либо сохраняются только на срок отдельно согласованного сопровождения.</w:t>
      </w:r>
    </w:p>
    <w:p>
      <w:r>
        <w:rPr>
          <w:rFonts w:ascii="Arial" w:hAnsi="Arial" w:eastAsia="Arial"/>
          <w:b w:val="0"/>
          <w:i w:val="0"/>
          <w:color w:val="071E55"/>
          <w:sz w:val="20"/>
        </w:rPr>
        <w:t>Дата __________     Исполнитель __________________     Заказчик __________________</w:t>
      </w:r>
    </w:p>
    <w:p>
      <w:r>
        <w:br w:type="page"/>
      </w:r>
    </w:p>
    <w:p>
      <w:pPr>
        <w:keepNext/>
        <w:widowControl/>
        <w:spacing w:after="140" w:before="0" w:line="240" w:lineRule="auto"/>
      </w:pPr>
      <w:r>
        <w:rPr>
          <w:rFonts w:ascii="Arial" w:hAnsi="Arial" w:eastAsia="Arial"/>
          <w:b/>
          <w:i w:val="0"/>
          <w:color w:val="123EE9"/>
          <w:sz w:val="24"/>
        </w:rPr>
        <w:t>Приложение 3</w:t>
      </w:r>
    </w:p>
    <w:p>
      <w:pPr>
        <w:keepNext/>
        <w:widowControl/>
        <w:spacing w:after="160" w:before="0" w:line="240" w:lineRule="auto"/>
      </w:pPr>
      <w:r>
        <w:rPr>
          <w:rFonts w:ascii="Arial" w:hAnsi="Arial" w:eastAsia="Arial"/>
          <w:b/>
          <w:i w:val="0"/>
          <w:color w:val="0A2A78"/>
          <w:sz w:val="36"/>
        </w:rPr>
        <w:t>Поручение на обработку персональных данных</w:t>
      </w:r>
    </w:p>
    <w:p>
      <w:pPr>
        <w:keepNext w:val="0"/>
        <w:widowControl/>
        <w:spacing w:after="240" w:before="0" w:line="274" w:lineRule="auto"/>
      </w:pPr>
      <w:r>
        <w:rPr>
          <w:rFonts w:ascii="Arial" w:hAnsi="Arial" w:eastAsia="Arial"/>
          <w:b w:val="0"/>
          <w:i/>
          <w:color w:val="304C7E"/>
          <w:sz w:val="20"/>
        </w:rPr>
        <w:t>Заполняется и подписывается только если Исполнитель действительно получает доступ к реальным персональным данным.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3969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Параметр поручения</w:t>
            </w:r>
          </w:p>
        </w:tc>
        <w:tc>
          <w:tcPr>
            <w:tcW w:type="dxa" w:w="5669"/>
            <w:shd w:fill="0A2A7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Согласованное значение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Цель обработки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Категории субъектов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Перечень персональных данных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Операции с данными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Место и срок хранения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Согласованные сервисы и подрядчики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Требования к конфиденциальности и защите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Срок уведомления об инциденте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Не позднее 24 часов с момента обнаружения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Порядок ответа на запросы субъектов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Возврат или удаление после завершения</w:t>
            </w:r>
          </w:p>
        </w:tc>
        <w:tc>
          <w:tcPr>
            <w:tcW w:type="dxa" w:w="5669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F7F9FD"/>
          </w:tcPr>
          <w:p>
            <w:pPr>
              <w:keepNext w:val="0"/>
              <w:widowControl/>
              <w:spacing w:after="0" w:before="0" w:line="259" w:lineRule="auto"/>
            </w:pPr>
            <w:r>
              <w:rPr>
                <w:rFonts w:ascii="Arial" w:hAnsi="Arial" w:eastAsia="Arial"/>
                <w:b w:val="0"/>
                <w:i w:val="0"/>
                <w:color w:val="071E55"/>
                <w:sz w:val="18"/>
              </w:rPr>
              <w:t>____________________________________________</w:t>
            </w:r>
          </w:p>
        </w:tc>
      </w:tr>
    </w:tbl>
    <w:p>
      <w:pPr>
        <w:spacing w:after="20"/>
      </w:pPr>
    </w:p>
    <w:p>
      <w:pPr>
        <w:keepNext w:val="0"/>
        <w:widowControl/>
        <w:spacing w:after="160" w:before="0" w:line="274" w:lineRule="auto"/>
      </w:pPr>
      <w:r>
        <w:rPr>
          <w:rFonts w:ascii="Arial" w:hAnsi="Arial" w:eastAsia="Arial"/>
          <w:b w:val="0"/>
          <w:i w:val="0"/>
          <w:color w:val="071E55"/>
          <w:sz w:val="20"/>
        </w:rPr>
        <w:t>Исполнитель обрабатывает данные только по документированным указаниям Заказчика, соблюдает конфиденциальность, применяет согласованные меры защиты и предоставляет сведения, необходимые Заказчику для выполнения обязанностей оператора.</w:t>
      </w:r>
    </w:p>
    <w:p>
      <w:pPr>
        <w:keepNext w:val="0"/>
        <w:widowControl/>
        <w:spacing w:after="100" w:before="240" w:line="274" w:lineRule="auto"/>
      </w:pPr>
      <w:r>
        <w:rPr>
          <w:rFonts w:ascii="Arial" w:hAnsi="Arial" w:eastAsia="Arial"/>
          <w:b w:val="0"/>
          <w:i w:val="0"/>
          <w:color w:val="071E55"/>
          <w:sz w:val="20"/>
        </w:rPr>
        <w:t>Дата __________     Исполнитель __________________     Заказчик __________________</w:t>
      </w:r>
    </w:p>
    <w:p>
      <w:r>
        <w:br w:type="page"/>
      </w:r>
    </w:p>
    <w:p>
      <w:pPr>
        <w:keepNext/>
        <w:widowControl/>
        <w:spacing w:after="140" w:before="0" w:line="240" w:lineRule="auto"/>
      </w:pPr>
      <w:r>
        <w:rPr>
          <w:rFonts w:ascii="Arial" w:hAnsi="Arial" w:eastAsia="Arial"/>
          <w:b/>
          <w:i w:val="0"/>
          <w:color w:val="123EE9"/>
          <w:sz w:val="24"/>
        </w:rPr>
        <w:t>Приложение 4</w:t>
      </w:r>
    </w:p>
    <w:p>
      <w:pPr>
        <w:keepNext/>
        <w:widowControl/>
        <w:spacing w:after="160" w:before="0" w:line="240" w:lineRule="auto"/>
      </w:pPr>
      <w:r>
        <w:rPr>
          <w:rFonts w:ascii="Arial" w:hAnsi="Arial" w:eastAsia="Arial"/>
          <w:b/>
          <w:i w:val="0"/>
          <w:color w:val="0A2A78"/>
          <w:sz w:val="36"/>
        </w:rPr>
        <w:t>Форма акта сдачи и приёмки</w:t>
      </w:r>
    </w:p>
    <w:p>
      <w:pPr>
        <w:keepNext w:val="0"/>
        <w:widowControl/>
        <w:spacing w:after="200" w:before="0" w:line="274" w:lineRule="auto"/>
      </w:pPr>
      <w:r>
        <w:rPr>
          <w:rFonts w:ascii="Arial" w:hAnsi="Arial" w:eastAsia="Arial"/>
          <w:b/>
          <w:i w:val="0"/>
          <w:color w:val="071E55"/>
          <w:sz w:val="22"/>
        </w:rPr>
        <w:t>Акт к договору № ______ от «___» __________ 20___ г.</w:t>
      </w:r>
    </w:p>
    <w:p>
      <w:pPr>
        <w:keepNext w:val="0"/>
        <w:widowControl/>
        <w:spacing w:after="80" w:before="0" w:line="274" w:lineRule="auto"/>
        <w:ind w:left="408" w:hanging="408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1. </w:t>
      </w:r>
      <w:r>
        <w:rPr>
          <w:rFonts w:ascii="Arial" w:hAnsi="Arial" w:eastAsia="Arial"/>
          <w:b w:val="0"/>
          <w:i w:val="0"/>
          <w:color w:val="071E55"/>
          <w:sz w:val="20"/>
        </w:rPr>
        <w:t>Исполнитель передал, а Заказчик получил доступ и проверил лендинг: ________________________________________________.</w:t>
      </w:r>
    </w:p>
    <w:p>
      <w:pPr>
        <w:keepNext w:val="0"/>
        <w:widowControl/>
        <w:spacing w:after="80" w:before="0" w:line="274" w:lineRule="auto"/>
        <w:ind w:left="408" w:hanging="408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2. </w:t>
      </w:r>
      <w:r>
        <w:rPr>
          <w:rFonts w:ascii="Arial" w:hAnsi="Arial" w:eastAsia="Arial"/>
          <w:b w:val="0"/>
          <w:i w:val="0"/>
          <w:color w:val="071E55"/>
          <w:sz w:val="20"/>
        </w:rPr>
        <w:t>Общая цена базового пакета по договору составляет 19 900 рублей. Сумма, относимая к настоящему акту согласно подписанному графику оплаты: __________________ рублей.</w:t>
      </w:r>
    </w:p>
    <w:p>
      <w:pPr>
        <w:keepNext w:val="0"/>
        <w:widowControl/>
        <w:spacing w:after="80" w:before="0" w:line="274" w:lineRule="auto"/>
        <w:ind w:left="408" w:hanging="408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3. </w:t>
      </w:r>
      <w:r>
        <w:rPr>
          <w:rFonts w:ascii="Arial" w:hAnsi="Arial" w:eastAsia="Arial"/>
          <w:b w:val="0"/>
          <w:i w:val="0"/>
          <w:color w:val="071E55"/>
          <w:sz w:val="20"/>
        </w:rPr>
        <w:t>Замечания отсутствуют / перечислены в приложенном едином списке от __________.</w:t>
      </w:r>
    </w:p>
    <w:p>
      <w:pPr>
        <w:keepNext w:val="0"/>
        <w:widowControl/>
        <w:spacing w:after="80" w:before="0" w:line="274" w:lineRule="auto"/>
        <w:ind w:left="408" w:hanging="408"/>
      </w:pPr>
      <w:r>
        <w:rPr>
          <w:rFonts w:ascii="Arial" w:hAnsi="Arial" w:eastAsia="Arial"/>
          <w:b/>
          <w:i w:val="0"/>
          <w:color w:val="071E55"/>
          <w:sz w:val="20"/>
        </w:rPr>
        <w:t xml:space="preserve">4. </w:t>
      </w:r>
      <w:r>
        <w:rPr>
          <w:rFonts w:ascii="Arial" w:hAnsi="Arial" w:eastAsia="Arial"/>
          <w:b w:val="0"/>
          <w:i w:val="0"/>
          <w:color w:val="071E55"/>
          <w:sz w:val="20"/>
        </w:rPr>
        <w:t>Принятие не лишает Заказчика права сообщить о скрытом воспроизводимом дефекте в пределах гарантии и обязательных сроков по закону.</w:t>
      </w:r>
    </w:p>
    <w:p>
      <w:pPr>
        <w:keepNext w:val="0"/>
        <w:widowControl/>
        <w:spacing w:after="100" w:before="240" w:line="274" w:lineRule="auto"/>
      </w:pPr>
      <w:r>
        <w:rPr>
          <w:rFonts w:ascii="Arial" w:hAnsi="Arial" w:eastAsia="Arial"/>
          <w:b w:val="0"/>
          <w:i w:val="0"/>
          <w:color w:val="071E55"/>
          <w:sz w:val="20"/>
        </w:rPr>
        <w:t>Дата __________     Исполнитель __________________     Заказчик 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22" w:right="935" w:bottom="82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/>
      <w:spacing w:after="0" w:before="0" w:line="240" w:lineRule="auto"/>
      <w:jc w:val="center"/>
    </w:pPr>
    <w:r>
      <w:rPr>
        <w:rFonts w:ascii="Arial" w:hAnsi="Arial" w:eastAsia="Arial"/>
        <w:b w:val="0"/>
        <w:i w:val="0"/>
        <w:color w:val="526A96"/>
        <w:sz w:val="16"/>
      </w:rPr>
      <w:t>Редакция 10.10.2026  ·  vidara.order@mail.ru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/>
      <w:spacing w:after="0" w:before="0" w:line="240" w:lineRule="auto"/>
      <w:jc w:val="right"/>
    </w:pPr>
    <w:r>
      <w:rPr>
        <w:rFonts w:ascii="Arial" w:hAnsi="Arial" w:eastAsia="Arial"/>
        <w:b/>
        <w:i w:val="0"/>
        <w:color w:val="526A96"/>
        <w:sz w:val="16"/>
      </w:rPr>
      <w:t>VIDARA NEIRO  ·  ОБРАЗЕЦ ДОГОВОРА НА ЛЕНДИНГ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Arial" w:hAnsi="Arial" w:eastAsia="Arial"/>
      <w:color w:val="071E5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на разработку и передачу базового лендинга VIDARA NEIRO</dc:title>
  <dc:subject>Одностраничный сайт: базовый пакет 19 900 рублей</dc:subject>
  <dc:creator>VIDARA NEIRO</dc:creator>
  <cp:keywords>VIDARA NEIRO, договор, лендинг, одностраничный сайт, ИП Куракина</cp:keywords>
  <dc:description>Публичный образец для предварительного ознакомления; не является публичной офертой.</dc:description>
  <cp:lastModifiedBy>VIDARA NEIRO</cp:lastModifiedBy>
  <cp:revision>1</cp:revision>
  <dcterms:created xsi:type="dcterms:W3CDTF">2026-10-10T00:00:00Z</dcterms:created>
  <dcterms:modified xsi:type="dcterms:W3CDTF">2026-10-10T00:00:00Z</dcterms:modified>
  <cp:category/>
</cp:coreProperties>
</file>